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6C" w:rsidRDefault="003F4F6C" w:rsidP="003F4F6C">
      <w:pPr>
        <w:spacing w:after="0" w:line="360" w:lineRule="auto"/>
        <w:jc w:val="right"/>
        <w:rPr>
          <w:rFonts w:ascii="Arial" w:hAnsi="Arial" w:cs="Arial" w:hint="default"/>
          <w:b/>
          <w:szCs w:val="24"/>
          <w:u w:val="single"/>
          <w:lang w:eastAsia="en-GB"/>
        </w:rPr>
      </w:pPr>
      <w:r>
        <w:rPr>
          <w:rFonts w:ascii="Arial" w:hAnsi="Arial" w:cs="Arial"/>
          <w:b/>
          <w:szCs w:val="24"/>
          <w:u w:val="single"/>
          <w:lang w:eastAsia="en-GB"/>
        </w:rPr>
        <w:t xml:space="preserve">CASE NO. TBC  </w:t>
      </w:r>
    </w:p>
    <w:p w:rsidR="003F4F6C" w:rsidRDefault="003F4F6C" w:rsidP="003F4F6C">
      <w:pPr>
        <w:spacing w:after="0" w:line="360" w:lineRule="auto"/>
        <w:rPr>
          <w:rFonts w:ascii="Arial" w:hAnsi="Arial" w:cs="Arial" w:hint="default"/>
          <w:b/>
          <w:szCs w:val="24"/>
          <w:u w:val="single"/>
          <w:lang w:eastAsia="en-GB"/>
        </w:rPr>
      </w:pPr>
    </w:p>
    <w:p w:rsidR="003F4F6C" w:rsidRDefault="003F4F6C" w:rsidP="003F4F6C">
      <w:pPr>
        <w:spacing w:after="0" w:line="360" w:lineRule="auto"/>
        <w:rPr>
          <w:rFonts w:ascii="Arial" w:hAnsi="Arial" w:cs="Arial" w:hint="default"/>
          <w:b/>
          <w:szCs w:val="24"/>
          <w:u w:val="single"/>
          <w:lang w:eastAsia="en-GB"/>
        </w:rPr>
      </w:pPr>
      <w:r>
        <w:rPr>
          <w:rFonts w:ascii="Arial" w:hAnsi="Arial" w:cs="Arial"/>
          <w:b/>
          <w:szCs w:val="24"/>
          <w:u w:val="single"/>
          <w:lang w:eastAsia="en-GB"/>
        </w:rPr>
        <w:t xml:space="preserve">IN THE </w:t>
      </w:r>
      <w:r>
        <w:rPr>
          <w:rFonts w:ascii="Arial" w:hAnsi="Arial" w:cs="Arial" w:hint="default"/>
          <w:b/>
          <w:szCs w:val="24"/>
          <w:u w:val="single"/>
          <w:lang w:eastAsia="en-GB"/>
        </w:rPr>
        <w:t>NEWCASTLE</w:t>
      </w:r>
      <w:r>
        <w:rPr>
          <w:rFonts w:ascii="Arial" w:hAnsi="Arial" w:cs="Arial"/>
          <w:b/>
          <w:szCs w:val="24"/>
          <w:u w:val="single"/>
          <w:lang w:eastAsia="en-GB"/>
        </w:rPr>
        <w:t xml:space="preserve"> EMPLOYMENT TRIBUNAL</w:t>
      </w:r>
    </w:p>
    <w:p w:rsidR="003F4F6C" w:rsidRDefault="003F4F6C" w:rsidP="003F4F6C">
      <w:pPr>
        <w:spacing w:after="0" w:line="360" w:lineRule="auto"/>
        <w:rPr>
          <w:rFonts w:ascii="Arial" w:hAnsi="Arial" w:cs="Arial" w:hint="default"/>
          <w:b/>
          <w:szCs w:val="24"/>
          <w:u w:val="single"/>
          <w:lang w:eastAsia="en-GB"/>
        </w:rPr>
      </w:pPr>
    </w:p>
    <w:p w:rsidR="003F4F6C" w:rsidRDefault="003F4F6C" w:rsidP="003F4F6C">
      <w:pPr>
        <w:spacing w:after="0" w:line="360" w:lineRule="auto"/>
        <w:rPr>
          <w:rFonts w:ascii="Arial" w:hAnsi="Arial" w:cs="Arial" w:hint="default"/>
          <w:b/>
          <w:szCs w:val="24"/>
          <w:u w:val="single"/>
          <w:lang w:eastAsia="en-GB"/>
        </w:rPr>
      </w:pPr>
    </w:p>
    <w:p w:rsidR="003F4F6C" w:rsidRDefault="003F4F6C" w:rsidP="003F4F6C">
      <w:pPr>
        <w:spacing w:after="0" w:line="360" w:lineRule="auto"/>
        <w:rPr>
          <w:rFonts w:ascii="Arial" w:hAnsi="Arial" w:cs="Arial" w:hint="default"/>
          <w:b/>
          <w:szCs w:val="24"/>
          <w:lang w:eastAsia="en-GB"/>
        </w:rPr>
      </w:pPr>
      <w:r>
        <w:rPr>
          <w:rFonts w:ascii="Arial" w:hAnsi="Arial" w:cs="Arial"/>
          <w:b/>
          <w:szCs w:val="24"/>
          <w:lang w:eastAsia="en-GB"/>
        </w:rPr>
        <w:t xml:space="preserve">B E T W E </w:t>
      </w:r>
      <w:proofErr w:type="spellStart"/>
      <w:r>
        <w:rPr>
          <w:rFonts w:ascii="Arial" w:hAnsi="Arial" w:cs="Arial"/>
          <w:b/>
          <w:szCs w:val="24"/>
          <w:lang w:eastAsia="en-GB"/>
        </w:rPr>
        <w:t>E</w:t>
      </w:r>
      <w:proofErr w:type="spellEnd"/>
      <w:r>
        <w:rPr>
          <w:rFonts w:ascii="Arial" w:hAnsi="Arial" w:cs="Arial"/>
          <w:b/>
          <w:szCs w:val="24"/>
          <w:lang w:eastAsia="en-GB"/>
        </w:rPr>
        <w:t xml:space="preserve"> N:</w:t>
      </w:r>
    </w:p>
    <w:p w:rsidR="003F4F6C" w:rsidRDefault="003F4F6C" w:rsidP="003F4F6C">
      <w:pPr>
        <w:spacing w:after="0" w:line="360" w:lineRule="auto"/>
        <w:rPr>
          <w:rFonts w:ascii="Arial" w:hAnsi="Arial" w:cs="Arial" w:hint="default"/>
          <w:b/>
          <w:szCs w:val="24"/>
          <w:lang w:eastAsia="en-GB"/>
        </w:rPr>
      </w:pPr>
    </w:p>
    <w:p w:rsidR="003F4F6C" w:rsidRDefault="003F4F6C" w:rsidP="003F4F6C">
      <w:pPr>
        <w:spacing w:after="0" w:line="360" w:lineRule="auto"/>
        <w:jc w:val="center"/>
        <w:rPr>
          <w:rFonts w:ascii="Arial" w:hAnsi="Arial" w:cs="Arial" w:hint="default"/>
          <w:b/>
          <w:szCs w:val="24"/>
          <w:u w:val="single"/>
          <w:lang w:eastAsia="en-GB"/>
        </w:rPr>
      </w:pPr>
      <w:r>
        <w:rPr>
          <w:rFonts w:ascii="Arial" w:hAnsi="Arial" w:cs="Arial" w:hint="default"/>
          <w:b/>
          <w:szCs w:val="24"/>
          <w:lang w:eastAsia="en-GB"/>
        </w:rPr>
        <w:t>MRS VERY ANNOYED</w:t>
      </w:r>
    </w:p>
    <w:p w:rsidR="003F4F6C" w:rsidRDefault="003F4F6C" w:rsidP="003F4F6C">
      <w:pPr>
        <w:spacing w:after="0" w:line="360" w:lineRule="auto"/>
        <w:jc w:val="right"/>
        <w:rPr>
          <w:rFonts w:ascii="Arial" w:hAnsi="Arial" w:cs="Arial" w:hint="default"/>
          <w:b/>
          <w:szCs w:val="24"/>
          <w:u w:val="single"/>
          <w:lang w:eastAsia="en-GB"/>
        </w:rPr>
      </w:pPr>
      <w:r>
        <w:rPr>
          <w:rFonts w:ascii="Arial" w:hAnsi="Arial" w:cs="Arial"/>
          <w:b/>
          <w:szCs w:val="24"/>
          <w:u w:val="single"/>
          <w:lang w:eastAsia="en-GB"/>
        </w:rPr>
        <w:t>Claimant</w:t>
      </w:r>
    </w:p>
    <w:p w:rsidR="003F4F6C" w:rsidRDefault="003F4F6C" w:rsidP="003F4F6C">
      <w:pPr>
        <w:spacing w:after="0" w:line="360" w:lineRule="auto"/>
        <w:jc w:val="center"/>
        <w:rPr>
          <w:rFonts w:ascii="Arial" w:hAnsi="Arial" w:cs="Arial" w:hint="default"/>
          <w:b/>
          <w:szCs w:val="24"/>
          <w:lang w:eastAsia="en-GB"/>
        </w:rPr>
      </w:pPr>
      <w:r>
        <w:rPr>
          <w:rFonts w:ascii="Arial" w:hAnsi="Arial" w:cs="Arial"/>
          <w:b/>
          <w:szCs w:val="24"/>
          <w:lang w:eastAsia="en-GB"/>
        </w:rPr>
        <w:t>and</w:t>
      </w:r>
    </w:p>
    <w:p w:rsidR="003F4F6C" w:rsidRDefault="003F4F6C" w:rsidP="003F4F6C">
      <w:pPr>
        <w:spacing w:after="0" w:line="360" w:lineRule="auto"/>
        <w:jc w:val="center"/>
        <w:rPr>
          <w:rFonts w:ascii="Arial" w:hAnsi="Arial" w:cs="Arial" w:hint="default"/>
          <w:b/>
          <w:szCs w:val="24"/>
          <w:lang w:eastAsia="en-GB"/>
        </w:rPr>
      </w:pPr>
    </w:p>
    <w:p w:rsidR="003F4F6C" w:rsidRDefault="003F4F6C" w:rsidP="003F4F6C">
      <w:pPr>
        <w:spacing w:after="0" w:line="360" w:lineRule="auto"/>
        <w:jc w:val="center"/>
        <w:rPr>
          <w:rFonts w:ascii="Arial" w:hAnsi="Arial" w:cs="Arial" w:hint="default"/>
          <w:b/>
          <w:szCs w:val="24"/>
          <w:u w:val="single"/>
          <w:lang w:eastAsia="en-GB"/>
        </w:rPr>
      </w:pPr>
      <w:r>
        <w:rPr>
          <w:rFonts w:ascii="Arial" w:hAnsi="Arial" w:cs="Arial" w:hint="default"/>
          <w:b/>
          <w:szCs w:val="24"/>
          <w:lang w:eastAsia="en-GB"/>
        </w:rPr>
        <w:t>A COMPANY</w:t>
      </w:r>
    </w:p>
    <w:p w:rsidR="003F4F6C" w:rsidRDefault="003F4F6C" w:rsidP="003F4F6C">
      <w:pPr>
        <w:spacing w:after="0" w:line="360" w:lineRule="auto"/>
        <w:ind w:left="720" w:hanging="720"/>
        <w:jc w:val="right"/>
        <w:rPr>
          <w:rFonts w:ascii="Arial" w:hAnsi="Arial" w:cs="Arial" w:hint="default"/>
          <w:b/>
          <w:szCs w:val="24"/>
          <w:u w:val="single"/>
          <w:lang w:eastAsia="en-GB"/>
        </w:rPr>
      </w:pPr>
      <w:r>
        <w:rPr>
          <w:rFonts w:ascii="Arial" w:hAnsi="Arial" w:cs="Arial"/>
          <w:b/>
          <w:szCs w:val="24"/>
          <w:u w:val="single"/>
          <w:lang w:eastAsia="en-GB"/>
        </w:rPr>
        <w:t>Respondent</w:t>
      </w:r>
    </w:p>
    <w:p w:rsidR="003F4F6C" w:rsidRDefault="003F4F6C" w:rsidP="003F4F6C">
      <w:pPr>
        <w:spacing w:after="0" w:line="360" w:lineRule="auto"/>
        <w:ind w:left="720" w:hanging="720"/>
        <w:jc w:val="center"/>
        <w:rPr>
          <w:rFonts w:ascii="Arial" w:hAnsi="Arial" w:cs="Arial" w:hint="default"/>
          <w:b/>
          <w:szCs w:val="24"/>
          <w:u w:val="single"/>
          <w:lang w:eastAsia="en-GB"/>
        </w:rPr>
      </w:pPr>
    </w:p>
    <w:p w:rsidR="003F4F6C" w:rsidRDefault="003F4F6C" w:rsidP="003F4F6C">
      <w:pPr>
        <w:spacing w:after="0" w:line="360" w:lineRule="auto"/>
        <w:ind w:left="720" w:hanging="720"/>
        <w:rPr>
          <w:rFonts w:ascii="Arial" w:hAnsi="Arial" w:cs="Arial" w:hint="default"/>
          <w:b/>
          <w:szCs w:val="24"/>
          <w:lang w:eastAsia="en-GB"/>
        </w:rPr>
      </w:pPr>
      <w:r>
        <w:rPr>
          <w:rFonts w:ascii="Arial" w:hAnsi="Arial" w:cs="Arial"/>
          <w:b/>
          <w:szCs w:val="24"/>
          <w:u w:val="single"/>
          <w:lang w:eastAsia="en-GB"/>
        </w:rPr>
        <w:t>___________________________________________________________________</w:t>
      </w:r>
    </w:p>
    <w:p w:rsidR="003F4F6C" w:rsidRDefault="003F4F6C" w:rsidP="003F4F6C">
      <w:pPr>
        <w:spacing w:after="0" w:line="360" w:lineRule="auto"/>
        <w:ind w:left="720" w:hanging="720"/>
        <w:jc w:val="center"/>
        <w:rPr>
          <w:rFonts w:ascii="Arial" w:hAnsi="Arial" w:cs="Arial" w:hint="default"/>
          <w:b/>
          <w:szCs w:val="24"/>
          <w:lang w:eastAsia="en-GB"/>
        </w:rPr>
      </w:pPr>
    </w:p>
    <w:p w:rsidR="003F4F6C" w:rsidRDefault="003F4F6C" w:rsidP="003F4F6C">
      <w:pPr>
        <w:spacing w:after="0" w:line="360" w:lineRule="auto"/>
        <w:ind w:left="720" w:hanging="720"/>
        <w:jc w:val="center"/>
        <w:rPr>
          <w:rFonts w:ascii="Arial" w:hAnsi="Arial" w:cs="Arial" w:hint="default"/>
          <w:b/>
          <w:szCs w:val="24"/>
          <w:u w:val="single"/>
          <w:lang w:eastAsia="en-GB"/>
        </w:rPr>
      </w:pPr>
      <w:r>
        <w:rPr>
          <w:rFonts w:ascii="Arial" w:hAnsi="Arial" w:cs="Arial"/>
          <w:b/>
          <w:szCs w:val="24"/>
          <w:lang w:eastAsia="en-GB"/>
        </w:rPr>
        <w:t>GROUNDS OF CLAIM</w:t>
      </w:r>
    </w:p>
    <w:p w:rsidR="003F4F6C" w:rsidRDefault="003F4F6C" w:rsidP="003F4F6C">
      <w:pPr>
        <w:spacing w:after="0" w:line="360" w:lineRule="auto"/>
        <w:ind w:left="720" w:hanging="720"/>
        <w:jc w:val="center"/>
        <w:rPr>
          <w:rFonts w:ascii="Arial" w:hAnsi="Arial" w:cs="Arial" w:hint="default"/>
          <w:b/>
          <w:szCs w:val="24"/>
          <w:u w:val="single"/>
          <w:lang w:eastAsia="en-GB"/>
        </w:rPr>
      </w:pPr>
      <w:r>
        <w:rPr>
          <w:rFonts w:ascii="Arial" w:hAnsi="Arial" w:cs="Arial"/>
          <w:b/>
          <w:szCs w:val="24"/>
          <w:u w:val="single"/>
          <w:lang w:eastAsia="en-GB"/>
        </w:rPr>
        <w:t>___________________________________________________________________</w:t>
      </w:r>
    </w:p>
    <w:p w:rsidR="003F4F6C" w:rsidRDefault="003F4F6C" w:rsidP="003F4F6C">
      <w:pPr>
        <w:spacing w:after="0" w:line="240" w:lineRule="auto"/>
        <w:rPr>
          <w:rFonts w:ascii="Arial" w:hAnsi="Arial" w:cs="Arial" w:hint="default"/>
          <w:lang w:eastAsia="en-GB"/>
        </w:rPr>
      </w:pPr>
    </w:p>
    <w:p w:rsidR="003F4F6C" w:rsidRDefault="003F4F6C" w:rsidP="003F4F6C">
      <w:pPr>
        <w:spacing w:after="0" w:line="240" w:lineRule="auto"/>
        <w:rPr>
          <w:rFonts w:ascii="Arial" w:hAnsi="Arial" w:cs="Arial" w:hint="default"/>
          <w:lang w:eastAsia="en-GB"/>
        </w:rPr>
      </w:pPr>
    </w:p>
    <w:p w:rsidR="003F4F6C" w:rsidRPr="00990EE6" w:rsidRDefault="003F4F6C" w:rsidP="003F4F6C">
      <w:pPr>
        <w:numPr>
          <w:ilvl w:val="0"/>
          <w:numId w:val="1"/>
        </w:numPr>
        <w:spacing w:after="0" w:line="360" w:lineRule="auto"/>
        <w:contextualSpacing/>
        <w:jc w:val="both"/>
        <w:rPr>
          <w:rFonts w:ascii="Arial" w:hAnsi="Arial" w:cs="Arial" w:hint="default"/>
          <w:lang w:eastAsia="en-GB"/>
        </w:rPr>
      </w:pPr>
      <w:r>
        <w:rPr>
          <w:rFonts w:hint="default"/>
          <w:noProof/>
        </w:rPr>
        <mc:AlternateContent>
          <mc:Choice Requires="wps">
            <w:drawing>
              <wp:anchor distT="0" distB="0" distL="114300" distR="114300" simplePos="0" relativeHeight="251659264" behindDoc="0" locked="1" layoutInCell="1" allowOverlap="1" wp14:anchorId="31883957" wp14:editId="520C8244">
                <wp:simplePos x="0" y="0"/>
                <wp:positionH relativeFrom="column">
                  <wp:posOffset>-668655</wp:posOffset>
                </wp:positionH>
                <wp:positionV relativeFrom="page">
                  <wp:posOffset>9894570</wp:posOffset>
                </wp:positionV>
                <wp:extent cx="6600825" cy="46355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6C" w:rsidRDefault="003F4F6C" w:rsidP="003F4F6C">
                            <w:pPr>
                              <w:autoSpaceDE w:val="0"/>
                              <w:autoSpaceDN w:val="0"/>
                              <w:adjustRightInd w:val="0"/>
                              <w:rPr>
                                <w:rFonts w:cs="Calibri" w:hint="default"/>
                                <w:color w:val="80808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3957" id="_x0000_t202" coordsize="21600,21600" o:spt="202" path="m,l,21600r21600,l21600,xe">
                <v:stroke joinstyle="miter"/>
                <v:path gradientshapeok="t" o:connecttype="rect"/>
              </v:shapetype>
              <v:shape id="Text Box 1" o:spid="_x0000_s1026" type="#_x0000_t202" style="position:absolute;left:0;text-align:left;margin-left:-52.65pt;margin-top:779.1pt;width:519.7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rChgIAAA8FAAAOAAAAZHJzL2Uyb0RvYy54bWysVNuO2yAQfa/Uf0C8Z22nTja21lntpakq&#10;bS/Sbj+AAI5RbYYCib2t+u8d8CbrXh6qqn7AwAyHOXNmuLgcupYcpHUKdEWzs5QSqTkIpXcV/fSw&#10;ma0ocZ5pwVrQsqKP0tHL9csXF70p5RwaaIW0BEG0K3tT0cZ7UyaJ443smDsDIzUaa7Ad87i0u0RY&#10;1iN61ybzNF0mPVhhLHDpHO7ejka6jvh1Lbn/UNdOetJWFGPzcbRx3IYxWV+wcmeZaRR/CoP9QxQd&#10;UxovPUHdMs/I3qrfoDrFLTio/RmHLoG6VlxGDsgmS39hc98wIyMXTI4zpzS5/wfL3x8+WqIEakeJ&#10;Zh1K9CAHT65hIFnITm9ciU73Bt38gNvBMzB15g74Z0c03DRM7+SVtdA3kgmMLp5MJkdHHBdAtv07&#10;EHgN23uIQENtuwCIySCIjio9npQJoXDcXC7TdDVfUMLRli9fLRZRuoSVx9PGOv9GQkfCpKIWlY/o&#10;7HDnPPJA16NLjB5aJTaqbePC7rY3rSUHhlWyiV+gjkfc1K3VwVlDODaaxx0MEu8IthBuVP1bkc3z&#10;9HpezDbL1fks3+SLWXGermZpVlwXyzQv8tvN9xBglpeNEkLqO6XlsQKz/O8UfuqFsXZiDZK+osUC&#10;MxV5TaN3U5Jp/P5EslMeG7JVXUVXJydWBmFfa4G0WemZasd58nP4MWWYg+M/ZiWWQVB+rAE/bAdE&#10;CbWxBfGIBWEB9ULV8RXBSQP2KyU9dmRF3Zc9s5KS9q3GoiqyPA8tHBf54nyOCzu1bKcWpjlCVdRT&#10;Mk5v/Nj2e2PVrsGbxjLWcIWFWKtYI89RIYWwwK6LZJ5eiNDW03X0en7H1j8AAAD//wMAUEsDBBQA&#10;BgAIAAAAIQAwnJOx4gAAAA4BAAAPAAAAZHJzL2Rvd25yZXYueG1sTI/NboNADITvlfoOK0fqpUqW&#10;n0ASyhK1lVr1mjQPYMABFHYXsZtA3r7uqb3ZntH4m3w/617caHSdNQrCVQCCTGXrzjQKTt8fyy0I&#10;59HU2FtDCu7kYF88PuSY1XYyB7odfSM4xLgMFbTeD5mUrmpJo1vZgQxrZztq9LyOjaxHnDhc9zIK&#10;glRq7Ax/aHGg95aqy/GqFZy/pudkN5Wf/rQ5rNM37DalvSv1tJhfX0B4mv2fGX7xGR0KZirt1dRO&#10;9AqWYZDE7GUlSbYRCPbs4jUPJZ/SOIxAFrn8X6P4AQAA//8DAFBLAQItABQABgAIAAAAIQC2gziS&#10;/gAAAOEBAAATAAAAAAAAAAAAAAAAAAAAAABbQ29udGVudF9UeXBlc10ueG1sUEsBAi0AFAAGAAgA&#10;AAAhADj9If/WAAAAlAEAAAsAAAAAAAAAAAAAAAAALwEAAF9yZWxzLy5yZWxzUEsBAi0AFAAGAAgA&#10;AAAhAEMu2sKGAgAADwUAAA4AAAAAAAAAAAAAAAAALgIAAGRycy9lMm9Eb2MueG1sUEsBAi0AFAAG&#10;AAgAAAAhADCck7HiAAAADgEAAA8AAAAAAAAAAAAAAAAA4AQAAGRycy9kb3ducmV2LnhtbFBLBQYA&#10;AAAABAAEAPMAAADvBQAAAAA=&#10;" stroked="f">
                <v:textbox>
                  <w:txbxContent>
                    <w:p w:rsidR="003F4F6C" w:rsidRDefault="003F4F6C" w:rsidP="003F4F6C">
                      <w:pPr>
                        <w:autoSpaceDE w:val="0"/>
                        <w:autoSpaceDN w:val="0"/>
                        <w:adjustRightInd w:val="0"/>
                        <w:rPr>
                          <w:rFonts w:cs="Calibri" w:hint="default"/>
                          <w:color w:val="808080"/>
                          <w:sz w:val="12"/>
                          <w:szCs w:val="12"/>
                        </w:rPr>
                      </w:pPr>
                    </w:p>
                  </w:txbxContent>
                </v:textbox>
                <w10:wrap anchory="page"/>
                <w10:anchorlock/>
              </v:shape>
            </w:pict>
          </mc:Fallback>
        </mc:AlternateContent>
      </w:r>
      <w:r>
        <w:rPr>
          <w:rFonts w:ascii="Arial" w:hAnsi="Arial" w:cs="Arial"/>
          <w:lang w:eastAsia="en-GB"/>
        </w:rPr>
        <w:t>The Claimant commenced</w:t>
      </w:r>
      <w:r w:rsidRPr="00990EE6">
        <w:rPr>
          <w:rFonts w:ascii="Arial" w:hAnsi="Arial" w:cs="Arial"/>
          <w:lang w:eastAsia="en-GB"/>
        </w:rPr>
        <w:t xml:space="preserve"> empl</w:t>
      </w:r>
      <w:r>
        <w:rPr>
          <w:rFonts w:ascii="Arial" w:hAnsi="Arial" w:cs="Arial"/>
          <w:lang w:eastAsia="en-GB"/>
        </w:rPr>
        <w:t>oyment with the Respondent on 21 March</w:t>
      </w:r>
      <w:r w:rsidRPr="00990EE6">
        <w:rPr>
          <w:rFonts w:ascii="Arial" w:hAnsi="Arial" w:cs="Arial"/>
          <w:lang w:eastAsia="en-GB"/>
        </w:rPr>
        <w:t xml:space="preserve"> 2008. The Claimant was employed as a Shop Manager </w:t>
      </w:r>
      <w:r>
        <w:rPr>
          <w:rFonts w:ascii="Arial" w:hAnsi="Arial" w:cs="Arial" w:hint="default"/>
          <w:lang w:eastAsia="en-GB"/>
        </w:rPr>
        <w:t>by the Respondent.</w:t>
      </w:r>
    </w:p>
    <w:p w:rsidR="003F4F6C" w:rsidRDefault="003F4F6C" w:rsidP="003F4F6C">
      <w:pPr>
        <w:spacing w:after="0" w:line="360" w:lineRule="auto"/>
        <w:jc w:val="bot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During her employment with the Respondent, the Claimant, on several occasions, raised informal grievances regarding the staff toilet at</w:t>
      </w:r>
      <w:r>
        <w:rPr>
          <w:rFonts w:ascii="Arial" w:hAnsi="Arial" w:cs="Arial" w:hint="default"/>
          <w:lang w:eastAsia="en-GB"/>
        </w:rPr>
        <w:t xml:space="preserve"> a</w:t>
      </w:r>
      <w:r>
        <w:rPr>
          <w:rFonts w:ascii="Arial" w:hAnsi="Arial" w:cs="Arial"/>
          <w:lang w:eastAsia="en-GB"/>
        </w:rPr>
        <w:t xml:space="preserve"> shop. This issue concerned all staff but</w:t>
      </w:r>
      <w:proofErr w:type="gramStart"/>
      <w:r>
        <w:rPr>
          <w:rFonts w:ascii="Arial" w:hAnsi="Arial" w:cs="Arial"/>
          <w:lang w:eastAsia="en-GB"/>
        </w:rPr>
        <w:t>, in particular, was</w:t>
      </w:r>
      <w:proofErr w:type="gramEnd"/>
      <w:r>
        <w:rPr>
          <w:rFonts w:ascii="Arial" w:hAnsi="Arial" w:cs="Arial"/>
          <w:lang w:eastAsia="en-GB"/>
        </w:rPr>
        <w:t xml:space="preserve"> a major health and safety issue for the Claimant</w:t>
      </w:r>
      <w:r>
        <w:rPr>
          <w:rFonts w:ascii="Arial" w:hAnsi="Arial" w:cs="Arial" w:hint="default"/>
          <w:lang w:eastAsia="en-GB"/>
        </w:rPr>
        <w:t xml:space="preserve"> because she had a weak bladder</w:t>
      </w:r>
      <w:r>
        <w:rPr>
          <w:rFonts w:ascii="Arial" w:hAnsi="Arial" w:cs="Arial"/>
          <w:lang w:eastAsia="en-GB"/>
        </w:rPr>
        <w:t>. As the staff toilets were not functional</w:t>
      </w:r>
      <w:r>
        <w:rPr>
          <w:rFonts w:ascii="Arial" w:hAnsi="Arial" w:cs="Arial" w:hint="default"/>
          <w:lang w:eastAsia="en-GB"/>
        </w:rPr>
        <w:t>,</w:t>
      </w:r>
      <w:r>
        <w:rPr>
          <w:rFonts w:ascii="Arial" w:hAnsi="Arial" w:cs="Arial"/>
          <w:lang w:eastAsia="en-GB"/>
        </w:rPr>
        <w:t xml:space="preserve"> the Claimant had no choice but to avoid fluids whilst working in that shop which was detrimental for her health. </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In </w:t>
      </w:r>
      <w:r>
        <w:rPr>
          <w:rFonts w:ascii="Arial" w:hAnsi="Arial" w:cs="Arial" w:hint="default"/>
          <w:lang w:eastAsia="en-GB"/>
        </w:rPr>
        <w:t>November</w:t>
      </w:r>
      <w:r>
        <w:rPr>
          <w:rFonts w:ascii="Arial" w:hAnsi="Arial" w:cs="Arial"/>
          <w:lang w:eastAsia="en-GB"/>
        </w:rPr>
        <w:t xml:space="preserve"> 2014, the Claimant again raised concerns regarding the toilets being out of order. The Claimant again informed the Respondent that the ongoing situation of the toilets was causing difficulties to all staff but</w:t>
      </w:r>
      <w:proofErr w:type="gramStart"/>
      <w:r>
        <w:rPr>
          <w:rFonts w:ascii="Arial" w:hAnsi="Arial" w:cs="Arial"/>
          <w:lang w:eastAsia="en-GB"/>
        </w:rPr>
        <w:t>, in particular, was</w:t>
      </w:r>
      <w:proofErr w:type="gramEnd"/>
      <w:r>
        <w:rPr>
          <w:rFonts w:ascii="Arial" w:hAnsi="Arial" w:cs="Arial"/>
          <w:lang w:eastAsia="en-GB"/>
        </w:rPr>
        <w:t xml:space="preserve"> a problem for her colleague </w:t>
      </w:r>
      <w:r>
        <w:rPr>
          <w:rFonts w:ascii="Arial" w:hAnsi="Arial" w:cs="Arial" w:hint="default"/>
          <w:lang w:eastAsia="en-GB"/>
        </w:rPr>
        <w:t>Susie</w:t>
      </w:r>
      <w:r>
        <w:rPr>
          <w:rFonts w:ascii="Arial" w:hAnsi="Arial" w:cs="Arial"/>
          <w:lang w:eastAsia="en-GB"/>
        </w:rPr>
        <w:t>, who was pregnant. Despite the problems faced by the Claimant and her colleagues the Respondent made no effort to resolve the problem.</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lastRenderedPageBreak/>
        <w:t xml:space="preserve">On 13 </w:t>
      </w:r>
      <w:r>
        <w:rPr>
          <w:rFonts w:ascii="Arial" w:hAnsi="Arial" w:cs="Arial" w:hint="default"/>
          <w:lang w:eastAsia="en-GB"/>
        </w:rPr>
        <w:t>November</w:t>
      </w:r>
      <w:r>
        <w:rPr>
          <w:rFonts w:ascii="Arial" w:hAnsi="Arial" w:cs="Arial"/>
          <w:lang w:eastAsia="en-GB"/>
        </w:rPr>
        <w:t xml:space="preserve"> 2014 the Claimant attended a disciplinary meeting. The Claimant was not given notice of this disciplinary meeting nor was </w:t>
      </w:r>
      <w:r>
        <w:rPr>
          <w:rFonts w:ascii="Arial" w:hAnsi="Arial" w:cs="Arial" w:hint="default"/>
          <w:lang w:eastAsia="en-GB"/>
        </w:rPr>
        <w:t>s</w:t>
      </w:r>
      <w:r>
        <w:rPr>
          <w:rFonts w:ascii="Arial" w:hAnsi="Arial" w:cs="Arial"/>
          <w:lang w:eastAsia="en-GB"/>
        </w:rPr>
        <w:t>he given the opportunity to bring a representative. The Claimant was therefore ill equipped to present a case in defence.</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hint="default"/>
          <w:lang w:eastAsia="en-GB"/>
        </w:rPr>
        <w:t>The Respondent’s Mr Bad Boss issued the Claimant with a final written warning.</w:t>
      </w:r>
    </w:p>
    <w:p w:rsidR="003F4F6C" w:rsidRPr="003F4F6C" w:rsidRDefault="003F4F6C" w:rsidP="003F4F6C">
      <w:pPr>
        <w:rPr>
          <w:rFonts w:ascii="Arial" w:hAnsi="Arial" w:cs="Arial" w:hint="default"/>
          <w:lang w:eastAsia="en-GB"/>
        </w:rPr>
      </w:pPr>
    </w:p>
    <w:p w:rsidR="003F4F6C" w:rsidRPr="004334BA" w:rsidRDefault="003F4F6C" w:rsidP="003F4F6C">
      <w:pPr>
        <w:numPr>
          <w:ilvl w:val="0"/>
          <w:numId w:val="1"/>
        </w:numPr>
        <w:spacing w:after="0" w:line="360" w:lineRule="auto"/>
        <w:contextualSpacing/>
        <w:jc w:val="both"/>
        <w:rPr>
          <w:rFonts w:ascii="Arial" w:hAnsi="Arial" w:cs="Arial" w:hint="default"/>
          <w:lang w:eastAsia="en-GB"/>
        </w:rPr>
      </w:pPr>
      <w:r w:rsidRPr="004334BA">
        <w:rPr>
          <w:rFonts w:ascii="Arial" w:hAnsi="Arial" w:cs="Arial"/>
          <w:lang w:eastAsia="en-GB"/>
        </w:rPr>
        <w:t xml:space="preserve">The Claimant further raised concerns about inconsistent treatment as the Respondent had not disciplined </w:t>
      </w:r>
      <w:r>
        <w:rPr>
          <w:rFonts w:ascii="Arial" w:hAnsi="Arial" w:cs="Arial" w:hint="default"/>
          <w:lang w:eastAsia="en-GB"/>
        </w:rPr>
        <w:t xml:space="preserve">Miss Another Member </w:t>
      </w:r>
      <w:proofErr w:type="gramStart"/>
      <w:r>
        <w:rPr>
          <w:rFonts w:ascii="Arial" w:hAnsi="Arial" w:cs="Arial" w:hint="default"/>
          <w:lang w:eastAsia="en-GB"/>
        </w:rPr>
        <w:t>Of</w:t>
      </w:r>
      <w:proofErr w:type="gramEnd"/>
      <w:r>
        <w:rPr>
          <w:rFonts w:ascii="Arial" w:hAnsi="Arial" w:cs="Arial" w:hint="default"/>
          <w:lang w:eastAsia="en-GB"/>
        </w:rPr>
        <w:t xml:space="preserve"> Staff</w:t>
      </w:r>
      <w:r w:rsidRPr="004334BA">
        <w:rPr>
          <w:rFonts w:ascii="Arial" w:hAnsi="Arial" w:cs="Arial"/>
          <w:lang w:eastAsia="en-GB"/>
        </w:rPr>
        <w:t xml:space="preserve">, another member of </w:t>
      </w:r>
      <w:r>
        <w:rPr>
          <w:rFonts w:ascii="Arial" w:hAnsi="Arial" w:cs="Arial"/>
          <w:lang w:eastAsia="en-GB"/>
        </w:rPr>
        <w:t xml:space="preserve">staff, for the </w:t>
      </w:r>
      <w:r>
        <w:rPr>
          <w:rFonts w:ascii="Arial" w:hAnsi="Arial" w:cs="Arial" w:hint="default"/>
          <w:lang w:eastAsia="en-GB"/>
        </w:rPr>
        <w:t xml:space="preserve">alleged </w:t>
      </w:r>
      <w:r>
        <w:rPr>
          <w:rFonts w:ascii="Arial" w:hAnsi="Arial" w:cs="Arial"/>
          <w:lang w:eastAsia="en-GB"/>
        </w:rPr>
        <w:t>same misconduct.</w:t>
      </w:r>
    </w:p>
    <w:p w:rsidR="003F4F6C" w:rsidRDefault="003F4F6C" w:rsidP="003F4F6C">
      <w:pPr>
        <w:spacing w:after="0" w:line="360" w:lineRule="auto"/>
        <w:contextualSpacing/>
        <w:jc w:val="bot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On 21 </w:t>
      </w:r>
      <w:r>
        <w:rPr>
          <w:rFonts w:ascii="Arial" w:hAnsi="Arial" w:cs="Arial" w:hint="default"/>
          <w:lang w:eastAsia="en-GB"/>
        </w:rPr>
        <w:t>November</w:t>
      </w:r>
      <w:r>
        <w:rPr>
          <w:rFonts w:ascii="Arial" w:hAnsi="Arial" w:cs="Arial"/>
          <w:lang w:eastAsia="en-GB"/>
        </w:rPr>
        <w:t xml:space="preserve"> 2014 the Claimant appealed against the Respondent’s decision to give her a written warning.</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On 7 January 2015 the Claimant received a letter from the Respondent inviting her to an appeal meeting on 15 January 2015.</w:t>
      </w:r>
    </w:p>
    <w:p w:rsidR="003F4F6C" w:rsidRPr="003F4F6C" w:rsidRDefault="003F4F6C" w:rsidP="003F4F6C">
      <w:pPr>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The Claimant’s appeal was rejected and the sanction of </w:t>
      </w:r>
      <w:r>
        <w:rPr>
          <w:rFonts w:ascii="Arial" w:hAnsi="Arial" w:cs="Arial" w:hint="default"/>
          <w:lang w:eastAsia="en-GB"/>
        </w:rPr>
        <w:t xml:space="preserve">a final </w:t>
      </w:r>
      <w:r>
        <w:rPr>
          <w:rFonts w:ascii="Arial" w:hAnsi="Arial" w:cs="Arial"/>
          <w:lang w:eastAsia="en-GB"/>
        </w:rPr>
        <w:t>written warning was upheld.</w:t>
      </w:r>
    </w:p>
    <w:p w:rsidR="003F4F6C" w:rsidRDefault="003F4F6C" w:rsidP="003F4F6C">
      <w:pPr>
        <w:spacing w:after="0" w:line="240" w:lineRule="auto"/>
        <w:jc w:val="both"/>
        <w:rPr>
          <w:rFonts w:ascii="Arial" w:hAnsi="Arial" w:cs="Arial" w:hint="default"/>
          <w:color w:val="000000"/>
          <w:lang w:eastAsia="en-GB"/>
        </w:rPr>
      </w:pPr>
    </w:p>
    <w:p w:rsidR="003F4F6C" w:rsidRDefault="003F4F6C" w:rsidP="003F4F6C">
      <w:pPr>
        <w:numPr>
          <w:ilvl w:val="0"/>
          <w:numId w:val="1"/>
        </w:numPr>
        <w:spacing w:after="0" w:line="360" w:lineRule="auto"/>
        <w:contextualSpacing/>
        <w:jc w:val="both"/>
        <w:rPr>
          <w:rFonts w:ascii="Arial" w:hAnsi="Arial" w:cs="Arial" w:hint="default"/>
          <w:color w:val="000000"/>
          <w:lang w:eastAsia="en-GB"/>
        </w:rPr>
      </w:pPr>
      <w:r>
        <w:rPr>
          <w:rFonts w:ascii="Arial" w:hAnsi="Arial" w:cs="Arial"/>
          <w:color w:val="000000"/>
          <w:lang w:eastAsia="en-GB"/>
        </w:rPr>
        <w:t xml:space="preserve"> On 21 January 2014 the Claimant raised a formal grievance with the Respondent. The grievance raised the following concerns:</w:t>
      </w:r>
    </w:p>
    <w:p w:rsidR="003F4F6C" w:rsidRDefault="003F4F6C" w:rsidP="003F4F6C">
      <w:pPr>
        <w:pStyle w:val="ListParagraph"/>
        <w:numPr>
          <w:ilvl w:val="0"/>
          <w:numId w:val="2"/>
        </w:numPr>
        <w:spacing w:after="0" w:line="360" w:lineRule="auto"/>
        <w:ind w:left="851" w:hanging="284"/>
        <w:jc w:val="both"/>
        <w:rPr>
          <w:rFonts w:ascii="Arial" w:hAnsi="Arial" w:cs="Arial" w:hint="default"/>
          <w:color w:val="000000"/>
          <w:lang w:eastAsia="en-GB"/>
        </w:rPr>
      </w:pPr>
      <w:r>
        <w:rPr>
          <w:rFonts w:ascii="Arial" w:hAnsi="Arial" w:cs="Arial"/>
          <w:color w:val="000000"/>
          <w:lang w:eastAsia="en-GB"/>
        </w:rPr>
        <w:t>Insufficient notice for the disciplinary hearing;</w:t>
      </w:r>
    </w:p>
    <w:p w:rsidR="003F4F6C" w:rsidRDefault="003F4F6C" w:rsidP="003F4F6C">
      <w:pPr>
        <w:pStyle w:val="ListParagraph"/>
        <w:numPr>
          <w:ilvl w:val="0"/>
          <w:numId w:val="2"/>
        </w:numPr>
        <w:spacing w:after="0" w:line="360" w:lineRule="auto"/>
        <w:ind w:left="851" w:hanging="284"/>
        <w:jc w:val="both"/>
        <w:rPr>
          <w:rFonts w:ascii="Arial" w:hAnsi="Arial" w:cs="Arial" w:hint="default"/>
          <w:color w:val="000000"/>
          <w:lang w:eastAsia="en-GB"/>
        </w:rPr>
      </w:pPr>
      <w:r>
        <w:rPr>
          <w:rFonts w:ascii="Arial" w:hAnsi="Arial" w:cs="Arial"/>
          <w:color w:val="000000"/>
          <w:lang w:eastAsia="en-GB"/>
        </w:rPr>
        <w:t>Denied the right to be accompanied at the disciplinary hearing;</w:t>
      </w:r>
    </w:p>
    <w:p w:rsidR="003F4F6C" w:rsidRDefault="003F4F6C" w:rsidP="003F4F6C">
      <w:pPr>
        <w:pStyle w:val="ListParagraph"/>
        <w:numPr>
          <w:ilvl w:val="0"/>
          <w:numId w:val="2"/>
        </w:numPr>
        <w:spacing w:after="0" w:line="360" w:lineRule="auto"/>
        <w:ind w:left="851" w:hanging="284"/>
        <w:jc w:val="both"/>
        <w:rPr>
          <w:rFonts w:ascii="Arial" w:hAnsi="Arial" w:cs="Arial" w:hint="default"/>
          <w:color w:val="000000"/>
          <w:lang w:eastAsia="en-GB"/>
        </w:rPr>
      </w:pPr>
      <w:r>
        <w:rPr>
          <w:rFonts w:ascii="Arial" w:hAnsi="Arial" w:cs="Arial"/>
          <w:color w:val="000000"/>
          <w:lang w:eastAsia="en-GB"/>
        </w:rPr>
        <w:t xml:space="preserve">Failure to fully investigate the allegations; </w:t>
      </w:r>
    </w:p>
    <w:p w:rsidR="003F4F6C" w:rsidRDefault="003F4F6C" w:rsidP="003F4F6C">
      <w:pPr>
        <w:pStyle w:val="ListParagraph"/>
        <w:numPr>
          <w:ilvl w:val="0"/>
          <w:numId w:val="2"/>
        </w:numPr>
        <w:spacing w:after="0" w:line="360" w:lineRule="auto"/>
        <w:ind w:left="851" w:hanging="284"/>
        <w:jc w:val="both"/>
        <w:rPr>
          <w:rFonts w:ascii="Arial" w:hAnsi="Arial" w:cs="Arial" w:hint="default"/>
          <w:color w:val="000000"/>
          <w:lang w:eastAsia="en-GB"/>
        </w:rPr>
      </w:pPr>
      <w:r>
        <w:rPr>
          <w:rFonts w:ascii="Arial" w:hAnsi="Arial" w:cs="Arial"/>
          <w:color w:val="000000"/>
          <w:lang w:eastAsia="en-GB"/>
        </w:rPr>
        <w:t xml:space="preserve">Not given the opportunity to present her case properly; and </w:t>
      </w:r>
    </w:p>
    <w:p w:rsidR="003F4F6C" w:rsidRDefault="003F4F6C" w:rsidP="003F4F6C">
      <w:pPr>
        <w:pStyle w:val="ListParagraph"/>
        <w:numPr>
          <w:ilvl w:val="0"/>
          <w:numId w:val="2"/>
        </w:numPr>
        <w:spacing w:after="0" w:line="360" w:lineRule="auto"/>
        <w:ind w:left="851" w:hanging="284"/>
        <w:jc w:val="both"/>
        <w:rPr>
          <w:rFonts w:ascii="Arial" w:hAnsi="Arial" w:cs="Arial" w:hint="default"/>
          <w:color w:val="000000"/>
          <w:lang w:eastAsia="en-GB"/>
        </w:rPr>
      </w:pPr>
      <w:r>
        <w:rPr>
          <w:rFonts w:ascii="Arial" w:hAnsi="Arial" w:cs="Arial"/>
          <w:color w:val="000000"/>
          <w:lang w:eastAsia="en-GB"/>
        </w:rPr>
        <w:t>Breach of the Respondent’s disciplinary policy.</w:t>
      </w:r>
    </w:p>
    <w:p w:rsidR="003F4F6C" w:rsidRDefault="003F4F6C" w:rsidP="003F4F6C">
      <w:pPr>
        <w:spacing w:after="0" w:line="360" w:lineRule="auto"/>
        <w:ind w:left="720"/>
        <w:contextualSpacing/>
        <w:jc w:val="both"/>
        <w:rPr>
          <w:rFonts w:ascii="Arial" w:hAnsi="Arial" w:cs="Arial" w:hint="default"/>
          <w:lang w:eastAsia="en-GB"/>
        </w:rPr>
      </w:pPr>
      <w:r>
        <w:rPr>
          <w:rFonts w:ascii="Arial" w:hAnsi="Arial" w:cs="Arial"/>
          <w:color w:val="000000"/>
          <w:lang w:eastAsia="en-GB"/>
        </w:rPr>
        <w:t xml:space="preserve"> </w:t>
      </w: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By letter dated 24 January 2015 the Respondent informed the Claimant that the disciplinary procedure had concluded and there was no further right to appeal. </w:t>
      </w:r>
    </w:p>
    <w:p w:rsidR="003F4F6C" w:rsidRDefault="003F4F6C" w:rsidP="003F4F6C">
      <w:pPr>
        <w:spacing w:after="0" w:line="360" w:lineRule="auto"/>
        <w:ind w:left="720"/>
        <w:contextualSpacing/>
        <w:jc w:val="bot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By letter dated 28 January 2015 the Claimant again raised a formal grievance regarding the Respondent’s failure to follow its disciplinary process and for inconsistent and unfair treatment of the Claimant. She also raised formal grievance in relation to the outstanding inadequate toilet facilities for staff.</w:t>
      </w:r>
    </w:p>
    <w:p w:rsidR="003F4F6C" w:rsidRDefault="003F4F6C" w:rsidP="003F4F6C">
      <w:pPr>
        <w:pStyle w:val="ListParagraph"/>
        <w:rPr>
          <w:rFonts w:ascii="Arial" w:hAnsi="Arial" w:cs="Arial" w:hint="default"/>
          <w:color w:val="000000"/>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lastRenderedPageBreak/>
        <w:t xml:space="preserve">The Claimant received no response from the Respondent to her grievance letter dated </w:t>
      </w:r>
      <w:r>
        <w:rPr>
          <w:rFonts w:ascii="Arial" w:hAnsi="Arial" w:cs="Arial" w:hint="default"/>
          <w:lang w:eastAsia="en-GB"/>
        </w:rPr>
        <w:t>28</w:t>
      </w:r>
      <w:r>
        <w:rPr>
          <w:rFonts w:ascii="Arial" w:hAnsi="Arial" w:cs="Arial"/>
          <w:lang w:eastAsia="en-GB"/>
        </w:rPr>
        <w:t xml:space="preserve"> January 2015. </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On 27 February 2015, the Claimant’s colleague,</w:t>
      </w:r>
      <w:r>
        <w:rPr>
          <w:rFonts w:ascii="Arial" w:hAnsi="Arial" w:cs="Arial" w:hint="default"/>
          <w:lang w:eastAsia="en-GB"/>
        </w:rPr>
        <w:t xml:space="preserve"> Mr Helpful Employee,</w:t>
      </w:r>
      <w:r>
        <w:rPr>
          <w:rFonts w:ascii="Arial" w:hAnsi="Arial" w:cs="Arial"/>
          <w:lang w:eastAsia="en-GB"/>
        </w:rPr>
        <w:t xml:space="preserve"> on behalf of the Claimant, sent an email to the Respondent requesting to progress the Claimant’s grievance. This email was also ignored by the Respondent. </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On 15 </w:t>
      </w:r>
      <w:r>
        <w:rPr>
          <w:rFonts w:ascii="Arial" w:hAnsi="Arial" w:cs="Arial"/>
          <w:color w:val="000000"/>
          <w:lang w:eastAsia="en-GB"/>
        </w:rPr>
        <w:t xml:space="preserve">March 2015 the Claimant sent another letter to </w:t>
      </w:r>
      <w:r>
        <w:rPr>
          <w:rFonts w:ascii="Arial" w:hAnsi="Arial" w:cs="Arial" w:hint="default"/>
          <w:color w:val="000000"/>
          <w:lang w:eastAsia="en-GB"/>
        </w:rPr>
        <w:t xml:space="preserve">Mrs Boss </w:t>
      </w:r>
      <w:r>
        <w:rPr>
          <w:rFonts w:ascii="Arial" w:hAnsi="Arial" w:cs="Arial"/>
          <w:color w:val="000000"/>
          <w:lang w:eastAsia="en-GB"/>
        </w:rPr>
        <w:t xml:space="preserve">reiterating her grievances. The Claimant also raised concerns about the Respondent deliberately ignoring her grievances for a prolonged </w:t>
      </w:r>
      <w:proofErr w:type="gramStart"/>
      <w:r>
        <w:rPr>
          <w:rFonts w:ascii="Arial" w:hAnsi="Arial" w:cs="Arial"/>
          <w:color w:val="000000"/>
          <w:lang w:eastAsia="en-GB"/>
        </w:rPr>
        <w:t>period of time</w:t>
      </w:r>
      <w:proofErr w:type="gramEnd"/>
      <w:r>
        <w:rPr>
          <w:rFonts w:ascii="Arial" w:hAnsi="Arial" w:cs="Arial"/>
          <w:color w:val="000000"/>
          <w:lang w:eastAsia="en-GB"/>
        </w:rPr>
        <w:t xml:space="preserve">. </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In </w:t>
      </w:r>
      <w:r>
        <w:rPr>
          <w:rFonts w:ascii="Arial" w:hAnsi="Arial" w:cs="Arial" w:hint="default"/>
          <w:lang w:eastAsia="en-GB"/>
        </w:rPr>
        <w:t>April</w:t>
      </w:r>
      <w:r>
        <w:rPr>
          <w:rFonts w:ascii="Arial" w:hAnsi="Arial" w:cs="Arial"/>
          <w:lang w:eastAsia="en-GB"/>
        </w:rPr>
        <w:t xml:space="preserve"> 2015, the Respondent, without notice to staff, unilaterally withdrew meal allowance and travel allowance entitlement for staff.</w:t>
      </w:r>
    </w:p>
    <w:p w:rsidR="003F4F6C" w:rsidRPr="003F4F6C" w:rsidRDefault="003F4F6C" w:rsidP="003F4F6C">
      <w:pPr>
        <w:rPr>
          <w:rFonts w:ascii="Arial" w:hAnsi="Arial" w:cs="Arial" w:hint="default"/>
          <w:highlight w:val="yellow"/>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The Claimant considered such withdrawal as breach of her contract and complained verbally on 27 </w:t>
      </w:r>
      <w:r>
        <w:rPr>
          <w:rFonts w:ascii="Arial" w:hAnsi="Arial" w:cs="Arial" w:hint="default"/>
          <w:lang w:eastAsia="en-GB"/>
        </w:rPr>
        <w:t>April</w:t>
      </w:r>
      <w:r>
        <w:rPr>
          <w:rFonts w:ascii="Arial" w:hAnsi="Arial" w:cs="Arial"/>
          <w:lang w:eastAsia="en-GB"/>
        </w:rPr>
        <w:t xml:space="preserve"> 2015 to Mr </w:t>
      </w:r>
      <w:r>
        <w:rPr>
          <w:rFonts w:ascii="Arial" w:hAnsi="Arial" w:cs="Arial" w:hint="default"/>
          <w:lang w:eastAsia="en-GB"/>
        </w:rPr>
        <w:t>Boss</w:t>
      </w:r>
      <w:r>
        <w:rPr>
          <w:rFonts w:ascii="Arial" w:hAnsi="Arial" w:cs="Arial"/>
          <w:lang w:eastAsia="en-GB"/>
        </w:rPr>
        <w:t>, the Operations Director.</w:t>
      </w:r>
    </w:p>
    <w:p w:rsidR="003F4F6C" w:rsidRPr="003F4F6C" w:rsidRDefault="003F4F6C" w:rsidP="003F4F6C">
      <w:pPr>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On 1 </w:t>
      </w:r>
      <w:r>
        <w:rPr>
          <w:rFonts w:ascii="Arial" w:hAnsi="Arial" w:cs="Arial" w:hint="default"/>
          <w:lang w:eastAsia="en-GB"/>
        </w:rPr>
        <w:t>May</w:t>
      </w:r>
      <w:r>
        <w:rPr>
          <w:rFonts w:ascii="Arial" w:hAnsi="Arial" w:cs="Arial"/>
          <w:lang w:eastAsia="en-GB"/>
        </w:rPr>
        <w:t xml:space="preserve"> 2015 the Claimant sent another letter to </w:t>
      </w:r>
      <w:r>
        <w:rPr>
          <w:rFonts w:ascii="Arial" w:hAnsi="Arial" w:cs="Arial" w:hint="default"/>
          <w:lang w:eastAsia="en-GB"/>
        </w:rPr>
        <w:t>Mr Boss.</w:t>
      </w:r>
      <w:r>
        <w:rPr>
          <w:rFonts w:ascii="Arial" w:hAnsi="Arial" w:cs="Arial"/>
          <w:lang w:eastAsia="en-GB"/>
        </w:rPr>
        <w:t xml:space="preserve"> reiterating the </w:t>
      </w:r>
      <w:r>
        <w:rPr>
          <w:rFonts w:ascii="Arial" w:hAnsi="Arial" w:cs="Arial" w:hint="default"/>
          <w:lang w:eastAsia="en-GB"/>
        </w:rPr>
        <w:t>grievances</w:t>
      </w:r>
      <w:r>
        <w:rPr>
          <w:rFonts w:ascii="Arial" w:hAnsi="Arial" w:cs="Arial"/>
          <w:lang w:eastAsia="en-GB"/>
        </w:rPr>
        <w:t>. In this letter the Claimant also detailed her concerns in relation to unilateral withdrawal by the Respondent of meal allowance and travel allowance for all staff.</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The Claimant did not receive a response to her letters. The continued unresolved issues caused undue stress to the Claimant. The Claimant went o</w:t>
      </w:r>
      <w:r w:rsidR="008E2F1A">
        <w:rPr>
          <w:rFonts w:ascii="Arial" w:hAnsi="Arial" w:cs="Arial" w:hint="default"/>
          <w:lang w:eastAsia="en-GB"/>
        </w:rPr>
        <w:t>f</w:t>
      </w:r>
      <w:r>
        <w:rPr>
          <w:rFonts w:ascii="Arial" w:hAnsi="Arial" w:cs="Arial"/>
          <w:lang w:eastAsia="en-GB"/>
        </w:rPr>
        <w:t xml:space="preserve">f sick with stress on 10 </w:t>
      </w:r>
      <w:r>
        <w:rPr>
          <w:rFonts w:ascii="Arial" w:hAnsi="Arial" w:cs="Arial" w:hint="default"/>
          <w:lang w:eastAsia="en-GB"/>
        </w:rPr>
        <w:t>May</w:t>
      </w:r>
      <w:r>
        <w:rPr>
          <w:rFonts w:ascii="Arial" w:hAnsi="Arial" w:cs="Arial"/>
          <w:lang w:eastAsia="en-GB"/>
        </w:rPr>
        <w:t xml:space="preserve"> 2015.</w:t>
      </w:r>
    </w:p>
    <w:p w:rsidR="003F4F6C" w:rsidRDefault="003F4F6C" w:rsidP="003F4F6C">
      <w:pPr>
        <w:pStyle w:val="ListParagraph"/>
        <w:rPr>
          <w:rFonts w:ascii="Arial" w:hAnsi="Arial" w:cs="Arial" w:hint="default"/>
          <w:lang w:eastAsia="en-GB"/>
        </w:rPr>
      </w:pPr>
      <w:bookmarkStart w:id="0" w:name="_GoBack"/>
      <w:bookmarkEnd w:id="0"/>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The Claimant was frustrated with the deliberate failure of the Respondent to investigate and progress the Claimant’s grievance. The Claimant made all efforts to resolve all outstanding issues but the Respondent’s deliberate disregard for health and safety of staff, unfair and inconsistent application of disciplinary sanction towards the Claimant and breach of the Claimant’s contract made the employment relationship untenable for the Claimant.</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Given all the above-mentioned issues combined, the Claimant regarded there had been a fundamental breach of the implied term of mutual trust and confidence and that </w:t>
      </w:r>
      <w:r>
        <w:rPr>
          <w:rFonts w:ascii="Arial" w:hAnsi="Arial" w:cs="Arial" w:hint="default"/>
          <w:lang w:eastAsia="en-GB"/>
        </w:rPr>
        <w:t>s</w:t>
      </w:r>
      <w:r>
        <w:rPr>
          <w:rFonts w:ascii="Arial" w:hAnsi="Arial" w:cs="Arial"/>
          <w:lang w:eastAsia="en-GB"/>
        </w:rPr>
        <w:t xml:space="preserve">he had no alternative but to resign from her position. </w:t>
      </w:r>
    </w:p>
    <w:p w:rsidR="003F4F6C" w:rsidRDefault="003F4F6C" w:rsidP="003F4F6C">
      <w:pPr>
        <w:spacing w:after="0" w:line="360" w:lineRule="auto"/>
        <w:ind w:left="720"/>
        <w:contextualSpacing/>
        <w:jc w:val="bot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By letter dated 20 </w:t>
      </w:r>
      <w:r>
        <w:rPr>
          <w:rFonts w:ascii="Arial" w:hAnsi="Arial" w:cs="Arial" w:hint="default"/>
          <w:lang w:eastAsia="en-GB"/>
        </w:rPr>
        <w:t>May</w:t>
      </w:r>
      <w:r>
        <w:rPr>
          <w:rFonts w:ascii="Arial" w:hAnsi="Arial" w:cs="Arial"/>
          <w:lang w:eastAsia="en-GB"/>
        </w:rPr>
        <w:t xml:space="preserve"> 2015, the Claimant resigned with immediate effect in response to the Respondent’s fundamental breach of her employment contract.</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On 20 </w:t>
      </w:r>
      <w:r>
        <w:rPr>
          <w:rFonts w:ascii="Arial" w:hAnsi="Arial" w:cs="Arial" w:hint="default"/>
          <w:lang w:eastAsia="en-GB"/>
        </w:rPr>
        <w:t>May</w:t>
      </w:r>
      <w:r>
        <w:rPr>
          <w:rFonts w:ascii="Arial" w:hAnsi="Arial" w:cs="Arial"/>
          <w:lang w:eastAsia="en-GB"/>
        </w:rPr>
        <w:t xml:space="preserve"> 2015, the Claimant also wrote a final grievance letter to </w:t>
      </w:r>
      <w:r>
        <w:rPr>
          <w:rFonts w:ascii="Arial" w:hAnsi="Arial" w:cs="Arial" w:hint="default"/>
          <w:lang w:eastAsia="en-GB"/>
        </w:rPr>
        <w:t>Mr Boss.</w:t>
      </w:r>
    </w:p>
    <w:p w:rsidR="003F4F6C" w:rsidRDefault="003F4F6C" w:rsidP="003F4F6C">
      <w:pPr>
        <w:spacing w:after="0" w:line="240" w:lineRule="auto"/>
        <w:contextualSpacing/>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The Claimant claims that </w:t>
      </w:r>
      <w:r>
        <w:rPr>
          <w:rFonts w:ascii="Arial" w:hAnsi="Arial" w:cs="Arial" w:hint="default"/>
          <w:lang w:eastAsia="en-GB"/>
        </w:rPr>
        <w:t>s</w:t>
      </w:r>
      <w:r>
        <w:rPr>
          <w:rFonts w:ascii="Arial" w:hAnsi="Arial" w:cs="Arial"/>
          <w:lang w:eastAsia="en-GB"/>
        </w:rPr>
        <w:t>he was constructively unfairly dismissed.</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The Claimant further contends that one of the reasons for the level of disciplinary sanction given to her and the </w:t>
      </w:r>
      <w:proofErr w:type="gramStart"/>
      <w:r>
        <w:rPr>
          <w:rFonts w:ascii="Arial" w:hAnsi="Arial" w:cs="Arial"/>
          <w:lang w:eastAsia="en-GB"/>
        </w:rPr>
        <w:t>manner in which</w:t>
      </w:r>
      <w:proofErr w:type="gramEnd"/>
      <w:r>
        <w:rPr>
          <w:rFonts w:ascii="Arial" w:hAnsi="Arial" w:cs="Arial"/>
          <w:lang w:eastAsia="en-GB"/>
        </w:rPr>
        <w:t xml:space="preserve"> her grievance was dealt with was due to her raising concerns regarding inadequate toilet facilities. The Claimant considers this to be a protected disclosure.</w:t>
      </w:r>
    </w:p>
    <w:p w:rsidR="003F4F6C" w:rsidRDefault="003F4F6C" w:rsidP="003F4F6C">
      <w:pPr>
        <w:spacing w:after="0" w:line="240" w:lineRule="auto"/>
        <w:ind w:left="720"/>
        <w:contextualSpacing/>
        <w:rPr>
          <w:rFonts w:ascii="Arial" w:hAnsi="Arial" w:cs="Arial" w:hint="default"/>
          <w:lang w:eastAsia="en-GB"/>
        </w:rPr>
      </w:pPr>
    </w:p>
    <w:p w:rsidR="003F4F6C" w:rsidRDefault="003F4F6C" w:rsidP="003F4F6C">
      <w:pPr>
        <w:spacing w:after="0" w:line="240" w:lineRule="auto"/>
        <w:ind w:left="720"/>
        <w:contextualSpacing/>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The Claimant submits that </w:t>
      </w:r>
      <w:r>
        <w:rPr>
          <w:rFonts w:ascii="Arial" w:hAnsi="Arial" w:cs="Arial" w:hint="default"/>
          <w:lang w:eastAsia="en-GB"/>
        </w:rPr>
        <w:t>s</w:t>
      </w:r>
      <w:r>
        <w:rPr>
          <w:rFonts w:ascii="Arial" w:hAnsi="Arial" w:cs="Arial"/>
          <w:lang w:eastAsia="en-GB"/>
        </w:rPr>
        <w:t>he was also automatically unfairly dismissed for making a protected disclosure.</w:t>
      </w:r>
    </w:p>
    <w:p w:rsidR="003F4F6C" w:rsidRDefault="003F4F6C" w:rsidP="003F4F6C">
      <w:pPr>
        <w:spacing w:after="0" w:line="240" w:lineRule="auto"/>
        <w:contextualSpacing/>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The Claimant claims for the unlawful deduction of </w:t>
      </w:r>
      <w:r>
        <w:rPr>
          <w:rFonts w:ascii="Arial" w:hAnsi="Arial" w:cs="Arial" w:hint="default"/>
          <w:lang w:eastAsia="en-GB"/>
        </w:rPr>
        <w:t>her</w:t>
      </w:r>
      <w:r>
        <w:rPr>
          <w:rFonts w:ascii="Arial" w:hAnsi="Arial" w:cs="Arial"/>
          <w:lang w:eastAsia="en-GB"/>
        </w:rPr>
        <w:t xml:space="preserve"> meal and travel allowance.</w:t>
      </w:r>
    </w:p>
    <w:p w:rsidR="003F4F6C" w:rsidRDefault="003F4F6C" w:rsidP="003F4F6C">
      <w:pPr>
        <w:pStyle w:val="ListParagrap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The Claimant commenced Early Conciliation on 06 May 2014. The Early Conciliation certificate is dated 06 June 2014.</w:t>
      </w:r>
    </w:p>
    <w:p w:rsidR="003F4F6C" w:rsidRDefault="003F4F6C" w:rsidP="003F4F6C">
      <w:pPr>
        <w:spacing w:after="0" w:line="360" w:lineRule="auto"/>
        <w:jc w:val="both"/>
        <w:rPr>
          <w:rFonts w:ascii="Arial" w:hAnsi="Arial" w:cs="Arial" w:hint="default"/>
          <w:lang w:eastAsia="en-GB"/>
        </w:rPr>
      </w:pPr>
    </w:p>
    <w:p w:rsidR="003F4F6C" w:rsidRDefault="003F4F6C" w:rsidP="003F4F6C">
      <w:pPr>
        <w:numPr>
          <w:ilvl w:val="0"/>
          <w:numId w:val="1"/>
        </w:numPr>
        <w:spacing w:after="0" w:line="360" w:lineRule="auto"/>
        <w:contextualSpacing/>
        <w:jc w:val="both"/>
        <w:rPr>
          <w:rFonts w:ascii="Arial" w:hAnsi="Arial" w:cs="Arial" w:hint="default"/>
          <w:lang w:eastAsia="en-GB"/>
        </w:rPr>
      </w:pPr>
      <w:r>
        <w:rPr>
          <w:rFonts w:ascii="Arial" w:hAnsi="Arial" w:cs="Arial"/>
          <w:lang w:eastAsia="en-GB"/>
        </w:rPr>
        <w:t xml:space="preserve">In the circumstances, the Claimant contends that </w:t>
      </w:r>
      <w:r>
        <w:rPr>
          <w:rFonts w:ascii="Arial" w:hAnsi="Arial" w:cs="Arial" w:hint="default"/>
          <w:lang w:eastAsia="en-GB"/>
        </w:rPr>
        <w:t>s</w:t>
      </w:r>
      <w:r>
        <w:rPr>
          <w:rFonts w:ascii="Arial" w:hAnsi="Arial" w:cs="Arial"/>
          <w:lang w:eastAsia="en-GB"/>
        </w:rPr>
        <w:t xml:space="preserve">he was automatically unfairly dismissed and/or, in the alternative, that </w:t>
      </w:r>
      <w:r>
        <w:rPr>
          <w:rFonts w:ascii="Arial" w:hAnsi="Arial" w:cs="Arial" w:hint="default"/>
          <w:lang w:eastAsia="en-GB"/>
        </w:rPr>
        <w:t>s</w:t>
      </w:r>
      <w:r>
        <w:rPr>
          <w:rFonts w:ascii="Arial" w:hAnsi="Arial" w:cs="Arial"/>
          <w:lang w:eastAsia="en-GB"/>
        </w:rPr>
        <w:t>he was constructively unfairly dismissed. The Claimant seeks:</w:t>
      </w:r>
    </w:p>
    <w:p w:rsidR="003F4F6C" w:rsidRDefault="003F4F6C" w:rsidP="003F4F6C">
      <w:pPr>
        <w:spacing w:after="0" w:line="360" w:lineRule="auto"/>
        <w:ind w:left="720"/>
        <w:contextualSpacing/>
        <w:jc w:val="both"/>
        <w:rPr>
          <w:rFonts w:ascii="Arial" w:hAnsi="Arial" w:cs="Arial" w:hint="default"/>
          <w:lang w:eastAsia="en-GB"/>
        </w:rPr>
      </w:pPr>
    </w:p>
    <w:p w:rsidR="003F4F6C" w:rsidRDefault="003F4F6C" w:rsidP="003F4F6C">
      <w:pPr>
        <w:numPr>
          <w:ilvl w:val="0"/>
          <w:numId w:val="3"/>
        </w:numPr>
        <w:spacing w:after="0" w:line="360" w:lineRule="auto"/>
        <w:contextualSpacing/>
        <w:jc w:val="both"/>
        <w:rPr>
          <w:rFonts w:ascii="Arial" w:hAnsi="Arial" w:cs="Arial" w:hint="default"/>
          <w:lang w:eastAsia="en-GB"/>
        </w:rPr>
      </w:pPr>
      <w:r>
        <w:rPr>
          <w:rFonts w:ascii="Arial" w:hAnsi="Arial" w:cs="Arial"/>
          <w:lang w:eastAsia="en-GB"/>
        </w:rPr>
        <w:t>Compensation for unfair dismissal.</w:t>
      </w:r>
    </w:p>
    <w:p w:rsidR="003F4F6C" w:rsidRDefault="003F4F6C" w:rsidP="003F4F6C">
      <w:pPr>
        <w:numPr>
          <w:ilvl w:val="0"/>
          <w:numId w:val="3"/>
        </w:numPr>
        <w:spacing w:after="0" w:line="360" w:lineRule="auto"/>
        <w:contextualSpacing/>
        <w:jc w:val="both"/>
        <w:rPr>
          <w:rFonts w:ascii="Arial" w:hAnsi="Arial" w:cs="Arial" w:hint="default"/>
          <w:lang w:eastAsia="en-GB"/>
        </w:rPr>
      </w:pPr>
      <w:r>
        <w:rPr>
          <w:rFonts w:ascii="Arial" w:hAnsi="Arial" w:cs="Arial"/>
          <w:lang w:eastAsia="en-GB"/>
        </w:rPr>
        <w:t>Compensation for breach of contract.</w:t>
      </w:r>
    </w:p>
    <w:p w:rsidR="003F4F6C" w:rsidRDefault="003F4F6C" w:rsidP="003F4F6C">
      <w:pPr>
        <w:numPr>
          <w:ilvl w:val="0"/>
          <w:numId w:val="3"/>
        </w:numPr>
        <w:spacing w:after="0" w:line="360" w:lineRule="auto"/>
        <w:contextualSpacing/>
        <w:jc w:val="both"/>
        <w:rPr>
          <w:rFonts w:ascii="Arial" w:hAnsi="Arial" w:cs="Arial" w:hint="default"/>
          <w:lang w:eastAsia="en-GB"/>
        </w:rPr>
      </w:pPr>
      <w:r>
        <w:rPr>
          <w:rFonts w:ascii="Arial" w:hAnsi="Arial" w:cs="Arial"/>
          <w:szCs w:val="24"/>
          <w:lang w:eastAsia="en-GB"/>
        </w:rPr>
        <w:t>An uplift to the compensation awarded by the tribunal of up to 25% due to the Respondent's unreasonable failure to comply with the ACAS Code, namely the failure to respond to grievances.</w:t>
      </w:r>
    </w:p>
    <w:p w:rsidR="003F4F6C" w:rsidRDefault="003F4F6C" w:rsidP="003F4F6C">
      <w:pPr>
        <w:numPr>
          <w:ilvl w:val="0"/>
          <w:numId w:val="3"/>
        </w:numPr>
        <w:spacing w:after="0" w:line="360" w:lineRule="auto"/>
        <w:contextualSpacing/>
        <w:jc w:val="both"/>
        <w:rPr>
          <w:rFonts w:hint="default"/>
        </w:rPr>
      </w:pPr>
      <w:r w:rsidRPr="003F4F6C">
        <w:rPr>
          <w:rFonts w:ascii="Arial" w:hAnsi="Arial" w:cs="Arial"/>
          <w:lang w:eastAsia="en-GB"/>
        </w:rPr>
        <w:t>Compensation for unlawful deduction from wages.</w:t>
      </w:r>
    </w:p>
    <w:p w:rsidR="003F4F6C" w:rsidRDefault="003F4F6C" w:rsidP="003F4F6C">
      <w:pPr>
        <w:rPr>
          <w:rFonts w:hint="default"/>
        </w:rPr>
      </w:pPr>
    </w:p>
    <w:p w:rsidR="003F4F6C" w:rsidRDefault="003F4F6C" w:rsidP="003F4F6C">
      <w:pPr>
        <w:rPr>
          <w:rFonts w:hint="default"/>
        </w:rPr>
      </w:pPr>
    </w:p>
    <w:p w:rsidR="003F4F6C" w:rsidRPr="007A2988" w:rsidRDefault="003F4F6C" w:rsidP="003F4F6C">
      <w:pPr>
        <w:rPr>
          <w:rFonts w:ascii="Arial" w:hAnsi="Arial" w:cs="Arial" w:hint="default"/>
        </w:rPr>
      </w:pPr>
    </w:p>
    <w:p w:rsidR="00E93A9F" w:rsidRDefault="00E93A9F">
      <w:pPr>
        <w:rPr>
          <w:rFonts w:hint="default"/>
        </w:rPr>
      </w:pPr>
    </w:p>
    <w:sectPr w:rsidR="00E93A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5F" w:rsidRDefault="00D0675F">
      <w:pPr>
        <w:spacing w:after="0" w:line="240" w:lineRule="auto"/>
        <w:rPr>
          <w:rFonts w:hint="default"/>
        </w:rPr>
      </w:pPr>
      <w:r>
        <w:separator/>
      </w:r>
    </w:p>
  </w:endnote>
  <w:endnote w:type="continuationSeparator" w:id="0">
    <w:p w:rsidR="00D0675F" w:rsidRDefault="00D0675F">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93" w:rsidRDefault="00D0675F">
    <w:pPr>
      <w:pStyle w:val="Foo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93" w:rsidRDefault="00D0675F">
    <w:pPr>
      <w:pStyle w:val="Foo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93" w:rsidRDefault="00D0675F">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5F" w:rsidRDefault="00D0675F">
      <w:pPr>
        <w:spacing w:after="0" w:line="240" w:lineRule="auto"/>
        <w:rPr>
          <w:rFonts w:hint="default"/>
        </w:rPr>
      </w:pPr>
      <w:r>
        <w:separator/>
      </w:r>
    </w:p>
  </w:footnote>
  <w:footnote w:type="continuationSeparator" w:id="0">
    <w:p w:rsidR="00D0675F" w:rsidRDefault="00D0675F">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93" w:rsidRDefault="00D0675F">
    <w:pPr>
      <w:pStyle w:val="Header"/>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93" w:rsidRDefault="00D0675F">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93" w:rsidRDefault="00D0675F">
    <w:pPr>
      <w:pStyle w:val="Head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11C"/>
    <w:multiLevelType w:val="hybridMultilevel"/>
    <w:tmpl w:val="134EE21A"/>
    <w:lvl w:ilvl="0" w:tplc="E7B24A2C">
      <w:start w:val="1"/>
      <w:numFmt w:val="decimal"/>
      <w:lvlText w:val="%1."/>
      <w:lvlJc w:val="left"/>
      <w:pPr>
        <w:ind w:left="720" w:hanging="360"/>
      </w:pPr>
      <w:rPr>
        <w:rFonts w:cs="Times New Roman" w:hint="cs"/>
        <w:rtl w:val="0"/>
        <w:cs w:val="0"/>
      </w:rPr>
    </w:lvl>
    <w:lvl w:ilvl="1" w:tplc="F8682F96">
      <w:start w:val="1"/>
      <w:numFmt w:val="lowerLetter"/>
      <w:lvlText w:val="%2."/>
      <w:lvlJc w:val="left"/>
      <w:pPr>
        <w:ind w:left="1440" w:hanging="360"/>
      </w:pPr>
      <w:rPr>
        <w:rFonts w:cs="Times New Roman" w:hint="cs"/>
        <w:rtl w:val="0"/>
        <w:cs w:val="0"/>
      </w:rPr>
    </w:lvl>
    <w:lvl w:ilvl="2" w:tplc="F33E3C54">
      <w:start w:val="1"/>
      <w:numFmt w:val="lowerRoman"/>
      <w:lvlText w:val="%3."/>
      <w:lvlJc w:val="right"/>
      <w:pPr>
        <w:ind w:left="2160" w:hanging="180"/>
      </w:pPr>
      <w:rPr>
        <w:rFonts w:cs="Times New Roman" w:hint="cs"/>
        <w:rtl w:val="0"/>
        <w:cs w:val="0"/>
      </w:rPr>
    </w:lvl>
    <w:lvl w:ilvl="3" w:tplc="F03A7EB2">
      <w:start w:val="1"/>
      <w:numFmt w:val="decimal"/>
      <w:lvlText w:val="%4."/>
      <w:lvlJc w:val="left"/>
      <w:pPr>
        <w:ind w:left="2880" w:hanging="360"/>
      </w:pPr>
      <w:rPr>
        <w:rFonts w:cs="Times New Roman" w:hint="cs"/>
        <w:rtl w:val="0"/>
        <w:cs w:val="0"/>
      </w:rPr>
    </w:lvl>
    <w:lvl w:ilvl="4" w:tplc="19BA79F2">
      <w:start w:val="1"/>
      <w:numFmt w:val="lowerLetter"/>
      <w:lvlText w:val="%5."/>
      <w:lvlJc w:val="left"/>
      <w:pPr>
        <w:ind w:left="3600" w:hanging="360"/>
      </w:pPr>
      <w:rPr>
        <w:rFonts w:cs="Times New Roman" w:hint="cs"/>
        <w:rtl w:val="0"/>
        <w:cs w:val="0"/>
      </w:rPr>
    </w:lvl>
    <w:lvl w:ilvl="5" w:tplc="A1E44AC6">
      <w:start w:val="1"/>
      <w:numFmt w:val="lowerRoman"/>
      <w:lvlText w:val="%6."/>
      <w:lvlJc w:val="right"/>
      <w:pPr>
        <w:ind w:left="4320" w:hanging="180"/>
      </w:pPr>
      <w:rPr>
        <w:rFonts w:cs="Times New Roman" w:hint="cs"/>
        <w:rtl w:val="0"/>
        <w:cs w:val="0"/>
      </w:rPr>
    </w:lvl>
    <w:lvl w:ilvl="6" w:tplc="229C074A">
      <w:start w:val="1"/>
      <w:numFmt w:val="decimal"/>
      <w:lvlText w:val="%7."/>
      <w:lvlJc w:val="left"/>
      <w:pPr>
        <w:ind w:left="5040" w:hanging="360"/>
      </w:pPr>
      <w:rPr>
        <w:rFonts w:cs="Times New Roman" w:hint="cs"/>
        <w:rtl w:val="0"/>
        <w:cs w:val="0"/>
      </w:rPr>
    </w:lvl>
    <w:lvl w:ilvl="7" w:tplc="0E3A0C72">
      <w:start w:val="1"/>
      <w:numFmt w:val="lowerLetter"/>
      <w:lvlText w:val="%8."/>
      <w:lvlJc w:val="left"/>
      <w:pPr>
        <w:ind w:left="5760" w:hanging="360"/>
      </w:pPr>
      <w:rPr>
        <w:rFonts w:cs="Times New Roman" w:hint="cs"/>
        <w:rtl w:val="0"/>
        <w:cs w:val="0"/>
      </w:rPr>
    </w:lvl>
    <w:lvl w:ilvl="8" w:tplc="EF24E586">
      <w:start w:val="1"/>
      <w:numFmt w:val="lowerRoman"/>
      <w:lvlText w:val="%9."/>
      <w:lvlJc w:val="right"/>
      <w:pPr>
        <w:ind w:left="6480" w:hanging="180"/>
      </w:pPr>
      <w:rPr>
        <w:rFonts w:cs="Times New Roman" w:hint="cs"/>
        <w:rtl w:val="0"/>
        <w:cs w:val="0"/>
      </w:rPr>
    </w:lvl>
  </w:abstractNum>
  <w:abstractNum w:abstractNumId="1" w15:restartNumberingAfterBreak="0">
    <w:nsid w:val="13D0507F"/>
    <w:multiLevelType w:val="hybridMultilevel"/>
    <w:tmpl w:val="5B86AAA6"/>
    <w:lvl w:ilvl="0" w:tplc="5EDEFD4C">
      <w:start w:val="1"/>
      <w:numFmt w:val="lowerLetter"/>
      <w:lvlText w:val="(%1)"/>
      <w:lvlJc w:val="left"/>
      <w:pPr>
        <w:ind w:left="1080" w:hanging="360"/>
      </w:pPr>
      <w:rPr>
        <w:rFonts w:cs="Times New Roman" w:hint="cs"/>
        <w:rtl w:val="0"/>
        <w:cs w:val="0"/>
      </w:rPr>
    </w:lvl>
    <w:lvl w:ilvl="1" w:tplc="D34CACD6">
      <w:start w:val="1"/>
      <w:numFmt w:val="lowerLetter"/>
      <w:lvlText w:val="%2."/>
      <w:lvlJc w:val="left"/>
      <w:pPr>
        <w:ind w:left="1800" w:hanging="360"/>
      </w:pPr>
      <w:rPr>
        <w:rFonts w:cs="Times New Roman" w:hint="cs"/>
        <w:rtl w:val="0"/>
        <w:cs w:val="0"/>
      </w:rPr>
    </w:lvl>
    <w:lvl w:ilvl="2" w:tplc="09F2F95E">
      <w:start w:val="1"/>
      <w:numFmt w:val="lowerRoman"/>
      <w:lvlText w:val="%3."/>
      <w:lvlJc w:val="right"/>
      <w:pPr>
        <w:ind w:left="2520" w:hanging="180"/>
      </w:pPr>
      <w:rPr>
        <w:rFonts w:cs="Times New Roman" w:hint="cs"/>
        <w:rtl w:val="0"/>
        <w:cs w:val="0"/>
      </w:rPr>
    </w:lvl>
    <w:lvl w:ilvl="3" w:tplc="1346C562">
      <w:start w:val="1"/>
      <w:numFmt w:val="decimal"/>
      <w:lvlText w:val="%4."/>
      <w:lvlJc w:val="left"/>
      <w:pPr>
        <w:ind w:left="3240" w:hanging="360"/>
      </w:pPr>
      <w:rPr>
        <w:rFonts w:cs="Times New Roman" w:hint="cs"/>
        <w:rtl w:val="0"/>
        <w:cs w:val="0"/>
      </w:rPr>
    </w:lvl>
    <w:lvl w:ilvl="4" w:tplc="DA5A4784">
      <w:start w:val="1"/>
      <w:numFmt w:val="lowerLetter"/>
      <w:lvlText w:val="%5."/>
      <w:lvlJc w:val="left"/>
      <w:pPr>
        <w:ind w:left="3960" w:hanging="360"/>
      </w:pPr>
      <w:rPr>
        <w:rFonts w:cs="Times New Roman" w:hint="cs"/>
        <w:rtl w:val="0"/>
        <w:cs w:val="0"/>
      </w:rPr>
    </w:lvl>
    <w:lvl w:ilvl="5" w:tplc="11B013C6">
      <w:start w:val="1"/>
      <w:numFmt w:val="lowerRoman"/>
      <w:lvlText w:val="%6."/>
      <w:lvlJc w:val="right"/>
      <w:pPr>
        <w:ind w:left="4680" w:hanging="180"/>
      </w:pPr>
      <w:rPr>
        <w:rFonts w:cs="Times New Roman" w:hint="cs"/>
        <w:rtl w:val="0"/>
        <w:cs w:val="0"/>
      </w:rPr>
    </w:lvl>
    <w:lvl w:ilvl="6" w:tplc="ECF29578">
      <w:start w:val="1"/>
      <w:numFmt w:val="decimal"/>
      <w:lvlText w:val="%7."/>
      <w:lvlJc w:val="left"/>
      <w:pPr>
        <w:ind w:left="5400" w:hanging="360"/>
      </w:pPr>
      <w:rPr>
        <w:rFonts w:cs="Times New Roman" w:hint="cs"/>
        <w:rtl w:val="0"/>
        <w:cs w:val="0"/>
      </w:rPr>
    </w:lvl>
    <w:lvl w:ilvl="7" w:tplc="A4666E6C">
      <w:start w:val="1"/>
      <w:numFmt w:val="lowerLetter"/>
      <w:lvlText w:val="%8."/>
      <w:lvlJc w:val="left"/>
      <w:pPr>
        <w:ind w:left="6120" w:hanging="360"/>
      </w:pPr>
      <w:rPr>
        <w:rFonts w:cs="Times New Roman" w:hint="cs"/>
        <w:rtl w:val="0"/>
        <w:cs w:val="0"/>
      </w:rPr>
    </w:lvl>
    <w:lvl w:ilvl="8" w:tplc="896C5A30">
      <w:start w:val="1"/>
      <w:numFmt w:val="lowerRoman"/>
      <w:lvlText w:val="%9."/>
      <w:lvlJc w:val="right"/>
      <w:pPr>
        <w:ind w:left="6840" w:hanging="180"/>
      </w:pPr>
      <w:rPr>
        <w:rFonts w:cs="Times New Roman" w:hint="cs"/>
        <w:rtl w:val="0"/>
        <w:cs w:val="0"/>
      </w:rPr>
    </w:lvl>
  </w:abstractNum>
  <w:abstractNum w:abstractNumId="2" w15:restartNumberingAfterBreak="0">
    <w:nsid w:val="489B325B"/>
    <w:multiLevelType w:val="hybridMultilevel"/>
    <w:tmpl w:val="25BAA25A"/>
    <w:lvl w:ilvl="0" w:tplc="3EF24248">
      <w:start w:val="1"/>
      <w:numFmt w:val="bullet"/>
      <w:lvlText w:val=""/>
      <w:lvlJc w:val="left"/>
      <w:pPr>
        <w:ind w:left="720" w:hanging="360"/>
      </w:pPr>
      <w:rPr>
        <w:rFonts w:ascii="Symbol" w:hAnsi="Symbol"/>
      </w:rPr>
    </w:lvl>
    <w:lvl w:ilvl="1" w:tplc="4AFE8A84">
      <w:start w:val="1"/>
      <w:numFmt w:val="bullet"/>
      <w:lvlText w:val="o"/>
      <w:lvlJc w:val="left"/>
      <w:pPr>
        <w:ind w:left="1440" w:hanging="360"/>
      </w:pPr>
      <w:rPr>
        <w:rFonts w:ascii="Courier New" w:hAnsi="Courier New"/>
      </w:rPr>
    </w:lvl>
    <w:lvl w:ilvl="2" w:tplc="90C8DE8E">
      <w:start w:val="1"/>
      <w:numFmt w:val="bullet"/>
      <w:lvlText w:val=""/>
      <w:lvlJc w:val="left"/>
      <w:pPr>
        <w:ind w:left="2160" w:hanging="360"/>
      </w:pPr>
      <w:rPr>
        <w:rFonts w:ascii="Wingdings" w:hAnsi="Wingdings"/>
      </w:rPr>
    </w:lvl>
    <w:lvl w:ilvl="3" w:tplc="890E64F6">
      <w:start w:val="1"/>
      <w:numFmt w:val="bullet"/>
      <w:lvlText w:val=""/>
      <w:lvlJc w:val="left"/>
      <w:pPr>
        <w:ind w:left="2880" w:hanging="360"/>
      </w:pPr>
      <w:rPr>
        <w:rFonts w:ascii="Symbol" w:hAnsi="Symbol"/>
      </w:rPr>
    </w:lvl>
    <w:lvl w:ilvl="4" w:tplc="B4B4F7F8">
      <w:start w:val="1"/>
      <w:numFmt w:val="bullet"/>
      <w:lvlText w:val="o"/>
      <w:lvlJc w:val="left"/>
      <w:pPr>
        <w:ind w:left="3600" w:hanging="360"/>
      </w:pPr>
      <w:rPr>
        <w:rFonts w:ascii="Courier New" w:hAnsi="Courier New"/>
      </w:rPr>
    </w:lvl>
    <w:lvl w:ilvl="5" w:tplc="7DFEDE84">
      <w:start w:val="1"/>
      <w:numFmt w:val="bullet"/>
      <w:lvlText w:val=""/>
      <w:lvlJc w:val="left"/>
      <w:pPr>
        <w:ind w:left="4320" w:hanging="360"/>
      </w:pPr>
      <w:rPr>
        <w:rFonts w:ascii="Wingdings" w:hAnsi="Wingdings"/>
      </w:rPr>
    </w:lvl>
    <w:lvl w:ilvl="6" w:tplc="1668E764">
      <w:start w:val="1"/>
      <w:numFmt w:val="bullet"/>
      <w:lvlText w:val=""/>
      <w:lvlJc w:val="left"/>
      <w:pPr>
        <w:ind w:left="5040" w:hanging="360"/>
      </w:pPr>
      <w:rPr>
        <w:rFonts w:ascii="Symbol" w:hAnsi="Symbol"/>
      </w:rPr>
    </w:lvl>
    <w:lvl w:ilvl="7" w:tplc="780A99B2">
      <w:start w:val="1"/>
      <w:numFmt w:val="bullet"/>
      <w:lvlText w:val="o"/>
      <w:lvlJc w:val="left"/>
      <w:pPr>
        <w:ind w:left="5760" w:hanging="360"/>
      </w:pPr>
      <w:rPr>
        <w:rFonts w:ascii="Courier New" w:hAnsi="Courier New"/>
      </w:rPr>
    </w:lvl>
    <w:lvl w:ilvl="8" w:tplc="BF908544">
      <w:start w:val="1"/>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6C"/>
    <w:rsid w:val="003F4F6C"/>
    <w:rsid w:val="008E2F1A"/>
    <w:rsid w:val="00C03609"/>
    <w:rsid w:val="00D0675F"/>
    <w:rsid w:val="00E9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69BC"/>
  <w15:chartTrackingRefBased/>
  <w15:docId w15:val="{B5650770-F3CC-4A4E-92CE-29BE4E42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F6C"/>
    <w:pPr>
      <w:spacing w:after="160" w:line="256" w:lineRule="auto"/>
    </w:pPr>
    <w:rPr>
      <w:rFonts w:hint="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6C"/>
    <w:pPr>
      <w:ind w:left="720"/>
      <w:contextualSpacing/>
    </w:pPr>
  </w:style>
  <w:style w:type="paragraph" w:styleId="Header">
    <w:name w:val="header"/>
    <w:basedOn w:val="Normal"/>
    <w:link w:val="HeaderChar"/>
    <w:uiPriority w:val="99"/>
    <w:unhideWhenUsed/>
    <w:rsid w:val="003F4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6C"/>
  </w:style>
  <w:style w:type="paragraph" w:styleId="Footer">
    <w:name w:val="footer"/>
    <w:basedOn w:val="Normal"/>
    <w:link w:val="FooterChar"/>
    <w:uiPriority w:val="99"/>
    <w:unhideWhenUsed/>
    <w:rsid w:val="003F4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F6C"/>
  </w:style>
  <w:style w:type="paragraph" w:styleId="BalloonText">
    <w:name w:val="Balloon Text"/>
    <w:basedOn w:val="Normal"/>
    <w:link w:val="BalloonTextChar"/>
    <w:uiPriority w:val="99"/>
    <w:semiHidden/>
    <w:unhideWhenUsed/>
    <w:rsid w:val="003F4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Andrew Gray</cp:lastModifiedBy>
  <cp:revision>2</cp:revision>
  <cp:lastPrinted>2017-10-31T15:44:00Z</cp:lastPrinted>
  <dcterms:created xsi:type="dcterms:W3CDTF">2017-11-06T09:38:00Z</dcterms:created>
  <dcterms:modified xsi:type="dcterms:W3CDTF">2017-11-06T09:38:00Z</dcterms:modified>
</cp:coreProperties>
</file>